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pPr>
      <w:r w:rsidDel="00000000" w:rsidR="00000000" w:rsidRPr="00000000">
        <w:rPr>
          <w:rtl w:val="0"/>
        </w:rPr>
      </w:r>
    </w:p>
    <w:p w:rsidR="00000000" w:rsidDel="00000000" w:rsidP="00000000" w:rsidRDefault="00000000" w:rsidRPr="00000000" w14:paraId="00000002">
      <w:pPr>
        <w:spacing w:line="360" w:lineRule="auto"/>
        <w:ind w:right="103"/>
        <w:jc w:val="center"/>
        <w:rPr>
          <w:i w:val="1"/>
          <w:iCs w:val="1"/>
          <w:color w:val="0f0f0f"/>
          <w:sz w:val="32"/>
          <w:szCs w:val="32"/>
          <w:highlight w:val="white"/>
        </w:rPr>
      </w:pPr>
      <w:bookmarkStart w:colFirst="0" w:colLast="0" w:name="_gjdgxs" w:id="0"/>
      <w:bookmarkEnd w:id="0"/>
      <w:r w:rsidDel="00000000" w:rsidR="00000000" w:rsidRPr="00000000">
        <w:rPr>
          <w:sz w:val="20"/>
          <w:szCs w:val="20"/>
        </w:rPr>
        <w:drawing>
          <wp:inline distB="0" distT="0" distL="0" distR="0">
            <wp:extent cx="2694152" cy="1750675"/>
            <wp:effectExtent b="0" l="0" r="0" t="0"/>
            <wp:docPr descr="Sito del Ministero dell'Istruzione in sospensione per migrazione CED - News  Istruzione" id="1" name="image1.png"/>
            <a:graphic>
              <a:graphicData uri="http://schemas.openxmlformats.org/drawingml/2006/picture">
                <pic:pic>
                  <pic:nvPicPr>
                    <pic:cNvPr descr="Sito del Ministero dell'Istruzione in sospensione per migrazione CED - News  Istruzione" id="0" name="image1.png"/>
                    <pic:cNvPicPr preferRelativeResize="0"/>
                  </pic:nvPicPr>
                  <pic:blipFill>
                    <a:blip r:embed="rId6"/>
                    <a:srcRect b="0" l="0" r="0" t="0"/>
                    <a:stretch>
                      <a:fillRect/>
                    </a:stretch>
                  </pic:blipFill>
                  <pic:spPr>
                    <a:xfrm>
                      <a:off x="0" y="0"/>
                      <a:ext cx="2694152" cy="17506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360" w:lineRule="auto"/>
        <w:ind w:right="103"/>
        <w:rPr>
          <w:sz w:val="20"/>
          <w:szCs w:val="20"/>
        </w:rPr>
      </w:pPr>
      <w:bookmarkStart w:colFirst="0" w:colLast="0" w:name="_nwyfy7y588gp" w:id="1"/>
      <w:bookmarkEnd w:id="1"/>
      <w:r w:rsidDel="00000000" w:rsidR="00000000" w:rsidRPr="00000000">
        <w:rPr>
          <w:rtl w:val="0"/>
        </w:rPr>
      </w:r>
    </w:p>
    <w:p w:rsidR="00000000" w:rsidDel="00000000" w:rsidP="00000000" w:rsidRDefault="00000000" w:rsidRPr="00000000" w14:paraId="00000004">
      <w:pPr>
        <w:spacing w:line="360" w:lineRule="auto"/>
        <w:ind w:right="103"/>
        <w:jc w:val="center"/>
        <w:rPr>
          <w:sz w:val="20"/>
          <w:szCs w:val="20"/>
        </w:rPr>
      </w:pPr>
      <w:bookmarkStart w:colFirst="0" w:colLast="0" w:name="_gjdgxs" w:id="0"/>
      <w:bookmarkEnd w:id="0"/>
      <w:r w:rsidDel="00000000" w:rsidR="00000000" w:rsidRPr="00000000">
        <w:rPr>
          <w:rtl w:val="0"/>
        </w:rPr>
      </w:r>
    </w:p>
    <w:p w:rsidR="00000000" w:rsidDel="00000000" w:rsidP="00000000" w:rsidRDefault="00000000" w:rsidRPr="00000000" w14:paraId="00000005">
      <w:pPr>
        <w:spacing w:line="360" w:lineRule="auto"/>
        <w:ind w:right="103"/>
        <w:jc w:val="center"/>
        <w:rPr>
          <w:sz w:val="20"/>
          <w:szCs w:val="20"/>
        </w:rPr>
      </w:pPr>
      <w:r w:rsidDel="00000000" w:rsidR="00000000" w:rsidRPr="00000000">
        <w:rPr>
          <w:sz w:val="20"/>
          <w:szCs w:val="20"/>
          <w:rtl w:val="0"/>
        </w:rPr>
        <w:t xml:space="preserve">ISTITUTO DI ISTRUZIONE SECONDARIA SUPERIORE </w:t>
      </w:r>
    </w:p>
    <w:p w:rsidR="00000000" w:rsidDel="00000000" w:rsidP="00000000" w:rsidRDefault="00000000" w:rsidRPr="00000000" w14:paraId="00000006">
      <w:pPr>
        <w:spacing w:line="360" w:lineRule="auto"/>
        <w:ind w:right="103"/>
        <w:jc w:val="center"/>
        <w:rPr>
          <w:sz w:val="20"/>
          <w:szCs w:val="20"/>
        </w:rPr>
      </w:pPr>
      <w:r w:rsidDel="00000000" w:rsidR="00000000" w:rsidRPr="00000000">
        <w:rPr>
          <w:sz w:val="20"/>
          <w:szCs w:val="20"/>
          <w:rtl w:val="0"/>
        </w:rPr>
        <w:t xml:space="preserve">"CARLO IGNAZIO GIULIO"</w:t>
        <w:br w:type="textWrapping"/>
        <w:t xml:space="preserve">Istituto Tecnico per il Turismo - Istituto Professionale per i Servizi Commerciali e per la Sanità e Assistenza Sociale</w:t>
      </w:r>
    </w:p>
    <w:p w:rsidR="00000000" w:rsidDel="00000000" w:rsidP="00000000" w:rsidRDefault="00000000" w:rsidRPr="00000000" w14:paraId="00000007">
      <w:pPr>
        <w:spacing w:line="360" w:lineRule="auto"/>
        <w:ind w:right="103"/>
        <w:jc w:val="center"/>
        <w:rPr>
          <w:sz w:val="20"/>
          <w:szCs w:val="20"/>
        </w:rPr>
      </w:pPr>
      <w:r w:rsidDel="00000000" w:rsidR="00000000" w:rsidRPr="00000000">
        <w:rPr>
          <w:sz w:val="20"/>
          <w:szCs w:val="20"/>
          <w:rtl w:val="0"/>
        </w:rPr>
        <w:t xml:space="preserve">Via G. Bidone,11 – 10125 – TORINO – 011 658702</w:t>
      </w:r>
    </w:p>
    <w:p w:rsidR="00000000" w:rsidDel="00000000" w:rsidP="00000000" w:rsidRDefault="00000000" w:rsidRPr="00000000" w14:paraId="00000008">
      <w:pPr>
        <w:widowControl w:val="0"/>
        <w:spacing w:line="360" w:lineRule="auto"/>
        <w:jc w:val="center"/>
        <w:rPr>
          <w:sz w:val="20"/>
          <w:szCs w:val="20"/>
        </w:rPr>
      </w:pPr>
      <w:r w:rsidDel="00000000" w:rsidR="00000000" w:rsidRPr="00000000">
        <w:rPr>
          <w:sz w:val="20"/>
          <w:szCs w:val="20"/>
          <w:rtl w:val="0"/>
        </w:rPr>
        <w:t xml:space="preserve">PEC tois05400x@pec.istruzione.it - </w:t>
      </w:r>
      <w:hyperlink r:id="rId7">
        <w:r w:rsidDel="00000000" w:rsidR="00000000" w:rsidRPr="00000000">
          <w:rPr>
            <w:color w:val="0563c1"/>
            <w:sz w:val="20"/>
            <w:szCs w:val="20"/>
            <w:u w:val="single"/>
            <w:rtl w:val="0"/>
          </w:rPr>
          <w:t xml:space="preserve">https://istitutogiulio.edu.it/</w:t>
        </w:r>
      </w:hyperlink>
      <w:r w:rsidDel="00000000" w:rsidR="00000000" w:rsidRPr="00000000">
        <w:rPr>
          <w:rtl w:val="0"/>
        </w:rPr>
      </w:r>
    </w:p>
    <w:p w:rsidR="00000000" w:rsidDel="00000000" w:rsidP="00000000" w:rsidRDefault="00000000" w:rsidRPr="00000000" w14:paraId="00000009">
      <w:pPr>
        <w:spacing w:line="360" w:lineRule="auto"/>
        <w:ind w:right="103"/>
        <w:jc w:val="left"/>
        <w:rPr>
          <w:sz w:val="20"/>
          <w:szCs w:val="20"/>
        </w:rPr>
      </w:pPr>
      <w:bookmarkStart w:colFirst="0" w:colLast="0" w:name="_6p2exws58j3y" w:id="2"/>
      <w:bookmarkEnd w:id="2"/>
      <w:r w:rsidDel="00000000" w:rsidR="00000000" w:rsidRPr="00000000">
        <w:rPr>
          <w:rtl w:val="0"/>
        </w:rPr>
      </w:r>
    </w:p>
    <w:p w:rsidR="00000000" w:rsidDel="00000000" w:rsidP="00000000" w:rsidRDefault="00000000" w:rsidRPr="00000000" w14:paraId="0000000A">
      <w:pPr>
        <w:spacing w:line="360" w:lineRule="auto"/>
        <w:ind w:right="103"/>
        <w:jc w:val="center"/>
        <w:rPr>
          <w:sz w:val="20"/>
          <w:szCs w:val="20"/>
        </w:rPr>
      </w:pPr>
      <w:bookmarkStart w:colFirst="0" w:colLast="0" w:name="_lyqa92v9h6fh" w:id="3"/>
      <w:bookmarkEnd w:id="3"/>
      <w:r w:rsidDel="00000000" w:rsidR="00000000" w:rsidRPr="00000000">
        <w:rPr>
          <w:rtl w:val="0"/>
        </w:rPr>
      </w:r>
    </w:p>
    <w:p w:rsidR="00000000" w:rsidDel="00000000" w:rsidP="00000000" w:rsidRDefault="00000000" w:rsidRPr="00000000" w14:paraId="0000000B">
      <w:pPr>
        <w:spacing w:line="360" w:lineRule="auto"/>
        <w:ind w:right="103"/>
        <w:jc w:val="center"/>
        <w:rPr>
          <w:sz w:val="20"/>
          <w:szCs w:val="20"/>
        </w:rPr>
      </w:pPr>
      <w:bookmarkStart w:colFirst="0" w:colLast="0" w:name="_vnaly1scjfw9" w:id="4"/>
      <w:bookmarkEnd w:id="4"/>
      <w:r w:rsidDel="00000000" w:rsidR="00000000" w:rsidRPr="00000000">
        <w:rPr>
          <w:sz w:val="20"/>
          <w:szCs w:val="20"/>
          <w:rtl w:val="0"/>
        </w:rPr>
        <w:t xml:space="preserve">PRIMA SIMULAZIONE DI SECONDA PROVA SCRITTA  </w:t>
      </w:r>
    </w:p>
    <w:p w:rsidR="00000000" w:rsidDel="00000000" w:rsidP="00000000" w:rsidRDefault="00000000" w:rsidRPr="00000000" w14:paraId="0000000C">
      <w:pPr>
        <w:spacing w:line="360" w:lineRule="auto"/>
        <w:ind w:right="103"/>
        <w:jc w:val="center"/>
        <w:rPr>
          <w:sz w:val="20"/>
          <w:szCs w:val="20"/>
        </w:rPr>
      </w:pPr>
      <w:bookmarkStart w:colFirst="0" w:colLast="0" w:name="_bjrf0k3f0auq" w:id="5"/>
      <w:bookmarkEnd w:id="5"/>
      <w:r w:rsidDel="00000000" w:rsidR="00000000" w:rsidRPr="00000000">
        <w:rPr>
          <w:rtl w:val="0"/>
        </w:rPr>
      </w:r>
    </w:p>
    <w:p w:rsidR="00000000" w:rsidDel="00000000" w:rsidP="00000000" w:rsidRDefault="00000000" w:rsidRPr="00000000" w14:paraId="0000000D">
      <w:pPr>
        <w:spacing w:line="360" w:lineRule="auto"/>
        <w:ind w:right="103"/>
        <w:jc w:val="center"/>
        <w:rPr>
          <w:sz w:val="20"/>
          <w:szCs w:val="20"/>
        </w:rPr>
      </w:pPr>
      <w:bookmarkStart w:colFirst="0" w:colLast="0" w:name="_dav96xb54sli" w:id="6"/>
      <w:bookmarkEnd w:id="6"/>
      <w:r w:rsidDel="00000000" w:rsidR="00000000" w:rsidRPr="00000000">
        <w:rPr>
          <w:sz w:val="20"/>
          <w:szCs w:val="20"/>
          <w:rtl w:val="0"/>
        </w:rPr>
        <w:t xml:space="preserve">ESAME DI MATURITÀ 2026</w:t>
      </w:r>
    </w:p>
    <w:p w:rsidR="00000000" w:rsidDel="00000000" w:rsidP="00000000" w:rsidRDefault="00000000" w:rsidRPr="00000000" w14:paraId="0000000E">
      <w:pPr>
        <w:spacing w:line="360" w:lineRule="auto"/>
        <w:ind w:right="103"/>
        <w:jc w:val="center"/>
        <w:rPr>
          <w:sz w:val="20"/>
          <w:szCs w:val="20"/>
        </w:rPr>
      </w:pPr>
      <w:bookmarkStart w:colFirst="0" w:colLast="0" w:name="_q3747h2crlg7" w:id="7"/>
      <w:bookmarkEnd w:id="7"/>
      <w:r w:rsidDel="00000000" w:rsidR="00000000" w:rsidRPr="00000000">
        <w:rPr>
          <w:rtl w:val="0"/>
        </w:rPr>
      </w:r>
    </w:p>
    <w:p w:rsidR="00000000" w:rsidDel="00000000" w:rsidP="00000000" w:rsidRDefault="00000000" w:rsidRPr="00000000" w14:paraId="0000000F">
      <w:pPr>
        <w:spacing w:line="360" w:lineRule="auto"/>
        <w:ind w:right="103"/>
        <w:jc w:val="center"/>
        <w:rPr>
          <w:sz w:val="20"/>
          <w:szCs w:val="20"/>
        </w:rPr>
      </w:pPr>
      <w:bookmarkStart w:colFirst="0" w:colLast="0" w:name="_760h9gui7tmy" w:id="8"/>
      <w:bookmarkEnd w:id="8"/>
      <w:r w:rsidDel="00000000" w:rsidR="00000000" w:rsidRPr="00000000">
        <w:rPr>
          <w:sz w:val="20"/>
          <w:szCs w:val="20"/>
          <w:rtl w:val="0"/>
        </w:rPr>
        <w:t xml:space="preserve">IP16 - Servizi Commerciali</w:t>
      </w:r>
    </w:p>
    <w:p w:rsidR="00000000" w:rsidDel="00000000" w:rsidP="00000000" w:rsidRDefault="00000000" w:rsidRPr="00000000" w14:paraId="00000010">
      <w:pPr>
        <w:spacing w:line="360" w:lineRule="auto"/>
        <w:ind w:right="103"/>
        <w:jc w:val="center"/>
        <w:rPr>
          <w:sz w:val="20"/>
          <w:szCs w:val="20"/>
        </w:rPr>
      </w:pPr>
      <w:bookmarkStart w:colFirst="0" w:colLast="0" w:name="_4iwoo1tbi0gs" w:id="9"/>
      <w:bookmarkEnd w:id="9"/>
      <w:r w:rsidDel="00000000" w:rsidR="00000000" w:rsidRPr="00000000">
        <w:rPr>
          <w:rtl w:val="0"/>
        </w:rPr>
      </w:r>
    </w:p>
    <w:p w:rsidR="00000000" w:rsidDel="00000000" w:rsidP="00000000" w:rsidRDefault="00000000" w:rsidRPr="00000000" w14:paraId="00000011">
      <w:pPr>
        <w:spacing w:line="360" w:lineRule="auto"/>
        <w:ind w:right="103"/>
        <w:jc w:val="center"/>
        <w:rPr>
          <w:b w:val="1"/>
          <w:bCs w:val="1"/>
          <w:sz w:val="20"/>
          <w:szCs w:val="20"/>
        </w:rPr>
      </w:pPr>
      <w:bookmarkStart w:colFirst="0" w:colLast="0" w:name="_ncpxj7eh546w" w:id="10"/>
      <w:bookmarkEnd w:id="10"/>
      <w:r w:rsidDel="00000000" w:rsidR="00000000" w:rsidRPr="00000000">
        <w:rPr>
          <w:b w:val="1"/>
          <w:bCs w:val="1"/>
          <w:sz w:val="20"/>
          <w:szCs w:val="20"/>
          <w:rtl w:val="0"/>
        </w:rPr>
        <w:t xml:space="preserve">12 marzo 2026</w:t>
      </w:r>
    </w:p>
    <w:p w:rsidR="00000000" w:rsidDel="00000000" w:rsidP="00000000" w:rsidRDefault="00000000" w:rsidRPr="00000000" w14:paraId="00000012">
      <w:pPr>
        <w:spacing w:line="360" w:lineRule="auto"/>
        <w:ind w:right="103"/>
        <w:jc w:val="center"/>
        <w:rPr>
          <w:sz w:val="20"/>
          <w:szCs w:val="20"/>
        </w:rPr>
      </w:pPr>
      <w:bookmarkStart w:colFirst="0" w:colLast="0" w:name="_w4lo5wqovhad" w:id="11"/>
      <w:bookmarkEnd w:id="11"/>
      <w:r w:rsidDel="00000000" w:rsidR="00000000" w:rsidRPr="00000000">
        <w:rPr>
          <w:rtl w:val="0"/>
        </w:rPr>
      </w:r>
    </w:p>
    <w:p w:rsidR="00000000" w:rsidDel="00000000" w:rsidP="00000000" w:rsidRDefault="00000000" w:rsidRPr="00000000" w14:paraId="00000013">
      <w:pPr>
        <w:spacing w:line="360" w:lineRule="auto"/>
        <w:ind w:right="103"/>
        <w:rPr>
          <w:sz w:val="20"/>
          <w:szCs w:val="20"/>
        </w:rPr>
      </w:pPr>
      <w:bookmarkStart w:colFirst="0" w:colLast="0" w:name="_lewyvwl2miij" w:id="12"/>
      <w:bookmarkEnd w:id="12"/>
      <w:r w:rsidDel="00000000" w:rsidR="00000000" w:rsidRPr="00000000">
        <w:rPr>
          <w:rtl w:val="0"/>
        </w:rPr>
      </w:r>
    </w:p>
    <w:tbl>
      <w:tblPr>
        <w:tblStyle w:val="Table1"/>
        <w:tblpPr w:leftFromText="180" w:rightFromText="180" w:topFromText="180" w:bottomFromText="180" w:vertAnchor="text" w:horzAnchor="text" w:tblpX="210" w:tblpY="0"/>
        <w:tblW w:w="9015.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20"/>
        <w:gridCol w:w="6795"/>
        <w:tblGridChange w:id="0">
          <w:tblGrid>
            <w:gridCol w:w="2220"/>
            <w:gridCol w:w="6795"/>
          </w:tblGrid>
        </w:tblGridChange>
      </w:tblGrid>
      <w:tr>
        <w:trPr>
          <w:cantSplit w:val="0"/>
          <w:trHeight w:val="1230" w:hRule="atLeast"/>
          <w:tblHeader w:val="0"/>
        </w:trPr>
        <w:tc>
          <w:tcPr>
            <w:vAlign w:val="center"/>
          </w:tcPr>
          <w:p w:rsidR="00000000" w:rsidDel="00000000" w:rsidP="00000000" w:rsidRDefault="00000000" w:rsidRPr="00000000" w14:paraId="00000014">
            <w:pPr>
              <w:widowControl w:val="0"/>
              <w:spacing w:line="360" w:lineRule="auto"/>
              <w:rPr>
                <w:b w:val="1"/>
                <w:bCs w:val="1"/>
                <w:sz w:val="20"/>
                <w:szCs w:val="20"/>
              </w:rPr>
            </w:pPr>
            <w:r w:rsidDel="00000000" w:rsidR="00000000" w:rsidRPr="00000000">
              <w:rPr>
                <w:b w:val="1"/>
                <w:bCs w:val="1"/>
                <w:sz w:val="20"/>
                <w:szCs w:val="20"/>
                <w:rtl w:val="0"/>
              </w:rPr>
              <w:t xml:space="preserve">TIPOLOGIA</w:t>
            </w:r>
          </w:p>
        </w:tc>
        <w:tc>
          <w:tcPr>
            <w:vAlign w:val="center"/>
          </w:tcPr>
          <w:p w:rsidR="00000000" w:rsidDel="00000000" w:rsidP="00000000" w:rsidRDefault="00000000" w:rsidRPr="00000000" w14:paraId="00000015">
            <w:pPr>
              <w:widowControl w:val="0"/>
              <w:spacing w:line="360" w:lineRule="auto"/>
              <w:rPr>
                <w:sz w:val="20"/>
                <w:szCs w:val="20"/>
              </w:rPr>
            </w:pPr>
            <w:r w:rsidDel="00000000" w:rsidR="00000000" w:rsidRPr="00000000">
              <w:rPr>
                <w:sz w:val="20"/>
                <w:szCs w:val="20"/>
                <w:rtl w:val="0"/>
              </w:rPr>
              <w:t xml:space="preserve">A - Redigere un report e/o una infografica sulla base dell'analisi di documenti, tabelle e dati</w:t>
            </w:r>
          </w:p>
        </w:tc>
      </w:tr>
      <w:tr>
        <w:trPr>
          <w:cantSplit w:val="0"/>
          <w:trHeight w:val="2565" w:hRule="atLeast"/>
          <w:tblHeader w:val="0"/>
        </w:trPr>
        <w:tc>
          <w:tcPr>
            <w:vAlign w:val="center"/>
          </w:tcPr>
          <w:p w:rsidR="00000000" w:rsidDel="00000000" w:rsidP="00000000" w:rsidRDefault="00000000" w:rsidRPr="00000000" w14:paraId="00000016">
            <w:pPr>
              <w:widowControl w:val="0"/>
              <w:spacing w:line="360" w:lineRule="auto"/>
              <w:rPr>
                <w:b w:val="1"/>
                <w:bCs w:val="1"/>
                <w:sz w:val="20"/>
                <w:szCs w:val="20"/>
              </w:rPr>
            </w:pPr>
            <w:r w:rsidDel="00000000" w:rsidR="00000000" w:rsidRPr="00000000">
              <w:rPr>
                <w:b w:val="1"/>
                <w:bCs w:val="1"/>
                <w:sz w:val="20"/>
                <w:szCs w:val="20"/>
                <w:rtl w:val="0"/>
              </w:rPr>
              <w:t xml:space="preserve">NUCLEI</w:t>
            </w:r>
          </w:p>
        </w:tc>
        <w:tc>
          <w:tcPr>
            <w:vAlign w:val="center"/>
          </w:tcPr>
          <w:p w:rsidR="00000000" w:rsidDel="00000000" w:rsidP="00000000" w:rsidRDefault="00000000" w:rsidRPr="00000000" w14:paraId="00000017">
            <w:pPr>
              <w:spacing w:after="200" w:line="360" w:lineRule="auto"/>
              <w:rPr>
                <w:sz w:val="20"/>
                <w:szCs w:val="20"/>
              </w:rPr>
            </w:pPr>
            <w:r w:rsidDel="00000000" w:rsidR="00000000" w:rsidRPr="00000000">
              <w:rPr>
                <w:sz w:val="20"/>
                <w:szCs w:val="20"/>
                <w:rtl w:val="0"/>
              </w:rPr>
              <w:t xml:space="preserve">6) analisi e rappresentazione dei documenti relativi alla rendicontazione sociale e ambientale, alla luce dei criteri sulla responsabilità sociale d’impresa</w:t>
            </w:r>
          </w:p>
          <w:p w:rsidR="00000000" w:rsidDel="00000000" w:rsidP="00000000" w:rsidRDefault="00000000" w:rsidRPr="00000000" w14:paraId="00000018">
            <w:pPr>
              <w:spacing w:after="200" w:line="360" w:lineRule="auto"/>
              <w:rPr>
                <w:sz w:val="20"/>
                <w:szCs w:val="20"/>
              </w:rPr>
            </w:pPr>
            <w:r w:rsidDel="00000000" w:rsidR="00000000" w:rsidRPr="00000000">
              <w:rPr>
                <w:sz w:val="20"/>
                <w:szCs w:val="20"/>
                <w:rtl w:val="0"/>
              </w:rPr>
              <w:t xml:space="preserve">7) analisi della normativa sulla sicurezza, l’igiene e la salvaguardia ambientale del settore di riferimento</w:t>
            </w:r>
          </w:p>
        </w:tc>
      </w:tr>
    </w:tbl>
    <w:p w:rsidR="00000000" w:rsidDel="00000000" w:rsidP="00000000" w:rsidRDefault="00000000" w:rsidRPr="00000000" w14:paraId="00000019">
      <w:pPr>
        <w:spacing w:line="360" w:lineRule="auto"/>
        <w:rPr>
          <w:sz w:val="20"/>
          <w:szCs w:val="20"/>
        </w:rPr>
      </w:pPr>
      <w:r w:rsidDel="00000000" w:rsidR="00000000" w:rsidRPr="00000000">
        <w:rPr>
          <w:rtl w:val="0"/>
        </w:rPr>
      </w:r>
    </w:p>
    <w:p w:rsidR="00000000" w:rsidDel="00000000" w:rsidP="00000000" w:rsidRDefault="00000000" w:rsidRPr="00000000" w14:paraId="0000001A">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B">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C">
      <w:pPr>
        <w:spacing w:line="360" w:lineRule="auto"/>
        <w:rPr>
          <w:color w:val="0f0f0f"/>
          <w:sz w:val="20"/>
          <w:szCs w:val="20"/>
          <w:highlight w:val="white"/>
        </w:rPr>
      </w:pPr>
      <w:r w:rsidDel="00000000" w:rsidR="00000000" w:rsidRPr="00000000">
        <w:rPr>
          <w:color w:val="0f0f0f"/>
          <w:sz w:val="20"/>
          <w:szCs w:val="20"/>
          <w:highlight w:val="white"/>
          <w:rtl w:val="0"/>
        </w:rPr>
        <w:t xml:space="preserve">NOME E COGNOME DEL CANDIDATO/A:</w:t>
      </w:r>
    </w:p>
    <w:p w:rsidR="00000000" w:rsidDel="00000000" w:rsidP="00000000" w:rsidRDefault="00000000" w:rsidRPr="00000000" w14:paraId="0000001D">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E">
      <w:pPr>
        <w:spacing w:line="360" w:lineRule="auto"/>
        <w:rPr>
          <w:color w:val="0f0f0f"/>
          <w:sz w:val="20"/>
          <w:szCs w:val="20"/>
          <w:highlight w:val="white"/>
        </w:rPr>
      </w:pPr>
      <w:r w:rsidDel="00000000" w:rsidR="00000000" w:rsidRPr="00000000">
        <w:rPr>
          <w:color w:val="0f0f0f"/>
          <w:sz w:val="20"/>
          <w:szCs w:val="20"/>
          <w:highlight w:val="white"/>
          <w:rtl w:val="0"/>
        </w:rPr>
        <w:t xml:space="preserve"> </w:t>
      </w:r>
    </w:p>
    <w:p w:rsidR="00000000" w:rsidDel="00000000" w:rsidP="00000000" w:rsidRDefault="00000000" w:rsidRPr="00000000" w14:paraId="0000001F">
      <w:pPr>
        <w:spacing w:line="360" w:lineRule="auto"/>
        <w:rPr>
          <w:color w:val="0f0f0f"/>
          <w:sz w:val="20"/>
          <w:szCs w:val="20"/>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1">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2">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3">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4">
      <w:pPr>
        <w:spacing w:line="360" w:lineRule="auto"/>
        <w:rPr>
          <w:color w:val="0f0f0f"/>
          <w:sz w:val="20"/>
          <w:szCs w:val="20"/>
          <w:highlight w:val="white"/>
        </w:rPr>
      </w:pPr>
      <w:r w:rsidDel="00000000" w:rsidR="00000000" w:rsidRPr="00000000">
        <w:rPr>
          <w:color w:val="0f0f0f"/>
          <w:sz w:val="20"/>
          <w:szCs w:val="20"/>
          <w:highlight w:val="white"/>
          <w:rtl w:val="0"/>
        </w:rPr>
        <w:t xml:space="preserve">TRACCIA</w:t>
      </w:r>
    </w:p>
    <w:p w:rsidR="00000000" w:rsidDel="00000000" w:rsidP="00000000" w:rsidRDefault="00000000" w:rsidRPr="00000000" w14:paraId="00000025">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6">
      <w:pPr>
        <w:spacing w:line="360" w:lineRule="auto"/>
        <w:rPr>
          <w:i w:val="1"/>
          <w:iCs w:val="1"/>
          <w:color w:val="0f0f0f"/>
          <w:sz w:val="20"/>
          <w:szCs w:val="20"/>
          <w:highlight w:val="white"/>
        </w:rPr>
      </w:pPr>
      <w:r w:rsidDel="00000000" w:rsidR="00000000" w:rsidRPr="00000000">
        <w:rPr>
          <w:color w:val="0f0f0f"/>
          <w:sz w:val="20"/>
          <w:szCs w:val="20"/>
          <w:highlight w:val="white"/>
          <w:rtl w:val="0"/>
        </w:rPr>
        <w:t xml:space="preserve">Dopo aver letto con attenzione il testo sottostante e gli allegati*, il candidato rediga un report sulla </w:t>
      </w:r>
      <w:r w:rsidDel="00000000" w:rsidR="00000000" w:rsidRPr="00000000">
        <w:rPr>
          <w:i w:val="1"/>
          <w:iCs w:val="1"/>
          <w:color w:val="0f0f0f"/>
          <w:sz w:val="20"/>
          <w:szCs w:val="20"/>
          <w:highlight w:val="white"/>
          <w:rtl w:val="0"/>
        </w:rPr>
        <w:t xml:space="preserve">sostenibilità dell’impresa TIM s.p.a.</w:t>
      </w:r>
    </w:p>
    <w:p w:rsidR="00000000" w:rsidDel="00000000" w:rsidP="00000000" w:rsidRDefault="00000000" w:rsidRPr="00000000" w14:paraId="00000027">
      <w:pPr>
        <w:spacing w:line="360" w:lineRule="auto"/>
        <w:rPr>
          <w:i w:val="1"/>
          <w:iCs w:val="1"/>
          <w:color w:val="0f0f0f"/>
          <w:sz w:val="20"/>
          <w:szCs w:val="20"/>
          <w:highlight w:val="white"/>
        </w:rPr>
      </w:pPr>
      <w:r w:rsidDel="00000000" w:rsidR="00000000" w:rsidRPr="00000000">
        <w:rPr>
          <w:rtl w:val="0"/>
        </w:rPr>
      </w:r>
    </w:p>
    <w:p w:rsidR="00000000" w:rsidDel="00000000" w:rsidP="00000000" w:rsidRDefault="00000000" w:rsidRPr="00000000" w14:paraId="00000028">
      <w:pPr>
        <w:spacing w:line="360" w:lineRule="auto"/>
        <w:rPr>
          <w:color w:val="0f0f0f"/>
          <w:sz w:val="20"/>
          <w:szCs w:val="20"/>
          <w:highlight w:val="white"/>
        </w:rPr>
      </w:pPr>
      <w:r w:rsidDel="00000000" w:rsidR="00000000" w:rsidRPr="00000000">
        <w:rPr>
          <w:color w:val="0f0f0f"/>
          <w:sz w:val="20"/>
          <w:szCs w:val="20"/>
          <w:highlight w:val="white"/>
          <w:rtl w:val="0"/>
        </w:rPr>
        <w:t xml:space="preserve">L’elaborato dovrà avere la lunghezza minima di due pagine e dovrà contenere i seguenti elementi:</w:t>
      </w:r>
    </w:p>
    <w:p w:rsidR="00000000" w:rsidDel="00000000" w:rsidP="00000000" w:rsidRDefault="00000000" w:rsidRPr="00000000" w14:paraId="00000029">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2A">
      <w:pPr>
        <w:numPr>
          <w:ilvl w:val="0"/>
          <w:numId w:val="1"/>
        </w:numPr>
        <w:spacing w:line="360" w:lineRule="auto"/>
        <w:ind w:left="720" w:hanging="360"/>
        <w:rPr>
          <w:color w:val="0f0f0f"/>
          <w:sz w:val="20"/>
          <w:szCs w:val="20"/>
          <w:highlight w:val="white"/>
        </w:rPr>
      </w:pPr>
      <w:r w:rsidDel="00000000" w:rsidR="00000000" w:rsidRPr="00000000">
        <w:rPr>
          <w:color w:val="0f0f0f"/>
          <w:sz w:val="20"/>
          <w:szCs w:val="20"/>
          <w:highlight w:val="white"/>
          <w:rtl w:val="0"/>
        </w:rPr>
        <w:t xml:space="preserve">titolo opportunamente scelto;</w:t>
      </w:r>
    </w:p>
    <w:p w:rsidR="00000000" w:rsidDel="00000000" w:rsidP="00000000" w:rsidRDefault="00000000" w:rsidRPr="00000000" w14:paraId="0000002B">
      <w:pPr>
        <w:numPr>
          <w:ilvl w:val="0"/>
          <w:numId w:val="1"/>
        </w:numPr>
        <w:spacing w:line="360" w:lineRule="auto"/>
        <w:ind w:left="720" w:hanging="360"/>
        <w:rPr>
          <w:color w:val="0f0f0f"/>
          <w:sz w:val="20"/>
          <w:szCs w:val="20"/>
          <w:highlight w:val="white"/>
        </w:rPr>
      </w:pPr>
      <w:r w:rsidDel="00000000" w:rsidR="00000000" w:rsidRPr="00000000">
        <w:rPr>
          <w:color w:val="0f0f0f"/>
          <w:sz w:val="20"/>
          <w:szCs w:val="20"/>
          <w:highlight w:val="white"/>
          <w:rtl w:val="0"/>
        </w:rPr>
        <w:t xml:space="preserve">le principali azioni adottate dall’impresa per una governance sostenibile;</w:t>
      </w:r>
    </w:p>
    <w:p w:rsidR="00000000" w:rsidDel="00000000" w:rsidP="00000000" w:rsidRDefault="00000000" w:rsidRPr="00000000" w14:paraId="0000002C">
      <w:pPr>
        <w:numPr>
          <w:ilvl w:val="0"/>
          <w:numId w:val="1"/>
        </w:numPr>
        <w:spacing w:line="360" w:lineRule="auto"/>
        <w:ind w:left="720" w:hanging="360"/>
        <w:rPr>
          <w:color w:val="0f0f0f"/>
          <w:sz w:val="20"/>
          <w:szCs w:val="20"/>
          <w:highlight w:val="white"/>
        </w:rPr>
      </w:pPr>
      <w:r w:rsidDel="00000000" w:rsidR="00000000" w:rsidRPr="00000000">
        <w:rPr>
          <w:color w:val="0f0f0f"/>
          <w:sz w:val="20"/>
          <w:szCs w:val="20"/>
          <w:highlight w:val="white"/>
          <w:rtl w:val="0"/>
        </w:rPr>
        <w:t xml:space="preserve">un commento agli allegati e ai dati presentati nell’articolo, evidenziando </w:t>
      </w:r>
      <w:r w:rsidDel="00000000" w:rsidR="00000000" w:rsidRPr="00000000">
        <w:rPr>
          <w:i w:val="1"/>
          <w:iCs w:val="1"/>
          <w:color w:val="0f0f0f"/>
          <w:sz w:val="20"/>
          <w:szCs w:val="20"/>
          <w:highlight w:val="white"/>
          <w:rtl w:val="0"/>
        </w:rPr>
        <w:t xml:space="preserve">l’aspetto Green </w:t>
      </w:r>
      <w:r w:rsidDel="00000000" w:rsidR="00000000" w:rsidRPr="00000000">
        <w:rPr>
          <w:color w:val="0f0f0f"/>
          <w:sz w:val="20"/>
          <w:szCs w:val="20"/>
          <w:highlight w:val="white"/>
          <w:rtl w:val="0"/>
        </w:rPr>
        <w:t xml:space="preserve">dell’impresa</w:t>
      </w:r>
    </w:p>
    <w:p w:rsidR="00000000" w:rsidDel="00000000" w:rsidP="00000000" w:rsidRDefault="00000000" w:rsidRPr="00000000" w14:paraId="0000002D">
      <w:pPr>
        <w:numPr>
          <w:ilvl w:val="0"/>
          <w:numId w:val="1"/>
        </w:numPr>
        <w:spacing w:line="360" w:lineRule="auto"/>
        <w:ind w:left="720" w:hanging="360"/>
        <w:rPr>
          <w:color w:val="0f0f0f"/>
          <w:sz w:val="20"/>
          <w:szCs w:val="20"/>
          <w:highlight w:val="white"/>
        </w:rPr>
      </w:pPr>
      <w:r w:rsidDel="00000000" w:rsidR="00000000" w:rsidRPr="00000000">
        <w:rPr>
          <w:color w:val="0f0f0f"/>
          <w:sz w:val="20"/>
          <w:szCs w:val="20"/>
          <w:highlight w:val="white"/>
          <w:rtl w:val="0"/>
        </w:rPr>
        <w:t xml:space="preserve">riferimenti al concetto di </w:t>
      </w:r>
      <w:r w:rsidDel="00000000" w:rsidR="00000000" w:rsidRPr="00000000">
        <w:rPr>
          <w:i w:val="1"/>
          <w:iCs w:val="1"/>
          <w:color w:val="0f0f0f"/>
          <w:sz w:val="20"/>
          <w:szCs w:val="20"/>
          <w:highlight w:val="white"/>
          <w:rtl w:val="0"/>
        </w:rPr>
        <w:t xml:space="preserve">responsabilità sociale d'impresa</w:t>
      </w:r>
      <w:r w:rsidDel="00000000" w:rsidR="00000000" w:rsidRPr="00000000">
        <w:rPr>
          <w:color w:val="0f0f0f"/>
          <w:sz w:val="20"/>
          <w:szCs w:val="20"/>
          <w:highlight w:val="white"/>
          <w:rtl w:val="0"/>
        </w:rPr>
        <w:t xml:space="preserve"> ed al </w:t>
      </w:r>
      <w:r w:rsidDel="00000000" w:rsidR="00000000" w:rsidRPr="00000000">
        <w:rPr>
          <w:i w:val="1"/>
          <w:iCs w:val="1"/>
          <w:color w:val="0f0f0f"/>
          <w:sz w:val="20"/>
          <w:szCs w:val="20"/>
          <w:highlight w:val="white"/>
          <w:rtl w:val="0"/>
        </w:rPr>
        <w:t xml:space="preserve">coinvolgimento degli stakeholder</w:t>
      </w:r>
      <w:r w:rsidDel="00000000" w:rsidR="00000000" w:rsidRPr="00000000">
        <w:rPr>
          <w:color w:val="0f0f0f"/>
          <w:sz w:val="20"/>
          <w:szCs w:val="20"/>
          <w:highlight w:val="white"/>
          <w:rtl w:val="0"/>
        </w:rPr>
        <w:t xml:space="preserve"> nelle politiche di sostenibilità.</w:t>
      </w:r>
    </w:p>
    <w:p w:rsidR="00000000" w:rsidDel="00000000" w:rsidP="00000000" w:rsidRDefault="00000000" w:rsidRPr="00000000" w14:paraId="0000002E">
      <w:pPr>
        <w:numPr>
          <w:ilvl w:val="0"/>
          <w:numId w:val="1"/>
        </w:numPr>
        <w:spacing w:line="360" w:lineRule="auto"/>
        <w:ind w:left="720" w:hanging="360"/>
        <w:rPr>
          <w:sz w:val="20"/>
          <w:szCs w:val="20"/>
          <w:highlight w:val="white"/>
        </w:rPr>
      </w:pPr>
      <w:r w:rsidDel="00000000" w:rsidR="00000000" w:rsidRPr="00000000">
        <w:rPr>
          <w:sz w:val="20"/>
          <w:szCs w:val="20"/>
          <w:highlight w:val="white"/>
          <w:rtl w:val="0"/>
        </w:rPr>
        <w:t xml:space="preserve">in merito al criterio</w:t>
      </w:r>
      <w:r w:rsidDel="00000000" w:rsidR="00000000" w:rsidRPr="00000000">
        <w:rPr>
          <w:i w:val="1"/>
          <w:iCs w:val="1"/>
          <w:sz w:val="20"/>
          <w:szCs w:val="20"/>
          <w:highlight w:val="white"/>
          <w:rtl w:val="0"/>
        </w:rPr>
        <w:t xml:space="preserve"> “S - social”,</w:t>
      </w:r>
      <w:r w:rsidDel="00000000" w:rsidR="00000000" w:rsidRPr="00000000">
        <w:rPr>
          <w:sz w:val="20"/>
          <w:szCs w:val="20"/>
          <w:highlight w:val="white"/>
          <w:rtl w:val="0"/>
        </w:rPr>
        <w:t xml:space="preserve"> le principali e possibili strategie adottate dall’impresa per garantire la sicurezza sui luoghi di lavoro</w:t>
      </w:r>
    </w:p>
    <w:p w:rsidR="00000000" w:rsidDel="00000000" w:rsidP="00000000" w:rsidRDefault="00000000" w:rsidRPr="00000000" w14:paraId="0000002F">
      <w:pPr>
        <w:numPr>
          <w:ilvl w:val="0"/>
          <w:numId w:val="1"/>
        </w:numPr>
        <w:spacing w:line="360" w:lineRule="auto"/>
        <w:ind w:left="720" w:hanging="360"/>
        <w:rPr>
          <w:color w:val="0f0f0f"/>
          <w:sz w:val="20"/>
          <w:szCs w:val="20"/>
          <w:highlight w:val="white"/>
          <w:u w:val="none"/>
        </w:rPr>
      </w:pPr>
      <w:r w:rsidDel="00000000" w:rsidR="00000000" w:rsidRPr="00000000">
        <w:rPr>
          <w:color w:val="0f0f0f"/>
          <w:sz w:val="20"/>
          <w:szCs w:val="20"/>
          <w:highlight w:val="white"/>
          <w:rtl w:val="0"/>
        </w:rPr>
        <w:t xml:space="preserve">brevi riflessioni conclusive</w:t>
      </w:r>
    </w:p>
    <w:p w:rsidR="00000000" w:rsidDel="00000000" w:rsidP="00000000" w:rsidRDefault="00000000" w:rsidRPr="00000000" w14:paraId="00000030">
      <w:pPr>
        <w:spacing w:line="360" w:lineRule="auto"/>
        <w:rPr>
          <w:i w:val="1"/>
          <w:iCs w:val="1"/>
          <w:color w:val="0f0f0f"/>
          <w:sz w:val="20"/>
          <w:szCs w:val="20"/>
          <w:highlight w:val="white"/>
        </w:rPr>
      </w:pPr>
      <w:r w:rsidDel="00000000" w:rsidR="00000000" w:rsidRPr="00000000">
        <w:rPr>
          <w:rtl w:val="0"/>
        </w:rPr>
      </w:r>
    </w:p>
    <w:p w:rsidR="00000000" w:rsidDel="00000000" w:rsidP="00000000" w:rsidRDefault="00000000" w:rsidRPr="00000000" w14:paraId="00000031">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32">
      <w:pPr>
        <w:spacing w:line="360" w:lineRule="auto"/>
        <w:rPr>
          <w:color w:val="0f0f0f"/>
          <w:sz w:val="20"/>
          <w:szCs w:val="20"/>
          <w:highlight w:val="white"/>
        </w:rPr>
      </w:pPr>
      <w:r w:rsidDel="00000000" w:rsidR="00000000" w:rsidRPr="00000000">
        <w:rPr>
          <w:color w:val="0f0f0f"/>
          <w:sz w:val="20"/>
          <w:szCs w:val="20"/>
          <w:highlight w:val="white"/>
          <w:rtl w:val="0"/>
        </w:rPr>
        <w:t xml:space="preserve">Di seguito il testo dell'intervista a Elisabetta Romano a capo del Network operations &amp; wholesale, tratto dal Sole 24 Ore del 14 dicembre 2023 a cura di Simona Rossitto.</w:t>
      </w:r>
    </w:p>
    <w:p w:rsidR="00000000" w:rsidDel="00000000" w:rsidP="00000000" w:rsidRDefault="00000000" w:rsidRPr="00000000" w14:paraId="00000033">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34">
      <w:pPr>
        <w:pStyle w:val="Heading1"/>
        <w:keepNext w:val="0"/>
        <w:keepLines w:val="0"/>
        <w:spacing w:after="220" w:before="0" w:line="360" w:lineRule="auto"/>
        <w:rPr>
          <w:i w:val="1"/>
          <w:iCs w:val="1"/>
          <w:color w:val="0f0f0f"/>
          <w:sz w:val="20"/>
          <w:szCs w:val="20"/>
          <w:highlight w:val="white"/>
        </w:rPr>
      </w:pPr>
      <w:bookmarkStart w:colFirst="0" w:colLast="0" w:name="_u7p8wzeqb2gh" w:id="13"/>
      <w:bookmarkEnd w:id="13"/>
      <w:r w:rsidDel="00000000" w:rsidR="00000000" w:rsidRPr="00000000">
        <w:rPr>
          <w:b w:val="1"/>
          <w:bCs w:val="1"/>
          <w:i w:val="1"/>
          <w:iCs w:val="1"/>
          <w:color w:val="0f0f0f"/>
          <w:sz w:val="20"/>
          <w:szCs w:val="20"/>
          <w:highlight w:val="white"/>
          <w:rtl w:val="0"/>
        </w:rPr>
        <w:t xml:space="preserve">“Il passaggio </w:t>
      </w:r>
      <w:r w:rsidDel="00000000" w:rsidR="00000000" w:rsidRPr="00000000">
        <w:rPr>
          <w:b w:val="1"/>
          <w:bCs w:val="1"/>
          <w:i w:val="1"/>
          <w:iCs w:val="1"/>
          <w:color w:val="0f0f0f"/>
          <w:sz w:val="20"/>
          <w:szCs w:val="20"/>
          <w:highlight w:val="white"/>
          <w:rtl w:val="0"/>
        </w:rPr>
        <w:t xml:space="preserve">alla fibra riduce le emissioni, a maggio switch off di 62 centrali di Tim, 6.700 entro il 2028. </w:t>
      </w:r>
      <w:r w:rsidDel="00000000" w:rsidR="00000000" w:rsidRPr="00000000">
        <w:rPr>
          <w:i w:val="1"/>
          <w:iCs w:val="1"/>
          <w:color w:val="0f0f0f"/>
          <w:sz w:val="20"/>
          <w:szCs w:val="20"/>
          <w:highlight w:val="white"/>
          <w:rtl w:val="0"/>
        </w:rPr>
        <w:t xml:space="preserve">Il passaggio dal rame alla fibra ottica riduce le emissioni e quindi giova alla sostenibilità ambientale. Va anche in quest’ottica il piano di decommissioning delle centrali di Tim che prevede lo switch off di 62 centrali entro maggio, per un totale di 6.700 centrali entro il 2028. A spiegare i piani per il futuro della rete di Tim, in un momento importante per la storia del gruppo, con l’accettazione dell’offerta di Kkr per il network, è Elisabetta Romano,a capo del Network Operations &amp; Wholesale Officer del gruppo.</w:t>
      </w:r>
      <w:r w:rsidDel="00000000" w:rsidR="00000000" w:rsidRPr="00000000">
        <w:rPr>
          <w:i w:val="1"/>
          <w:iCs w:val="1"/>
          <w:color w:val="757575"/>
          <w:sz w:val="20"/>
          <w:szCs w:val="20"/>
          <w:highlight w:val="white"/>
          <w:rtl w:val="0"/>
        </w:rPr>
        <w:t xml:space="preserve"> </w:t>
      </w:r>
      <w:r w:rsidDel="00000000" w:rsidR="00000000" w:rsidRPr="00000000">
        <w:rPr>
          <w:i w:val="1"/>
          <w:iCs w:val="1"/>
          <w:color w:val="0f0f0f"/>
          <w:sz w:val="20"/>
          <w:szCs w:val="20"/>
          <w:highlight w:val="white"/>
          <w:rtl w:val="0"/>
        </w:rPr>
        <w:t xml:space="preserve">« Il passaggio alla fibra ottica Ftth (la fibra fino alla casa) nella rete di accesso riduce i consumi energetici – spiega Romano a Digital Economy.24, report del Sole 24 Ore Radiocor e Digiti Ed.) nell’ordine di oltre due terzi rispetto ad una rete tradizionale, con conseguente riduzione di emissione di CO2 nell’ambiente». Come gruppo Tim siamo fortemente impegnati verso la sostenibilità ambientale e vogliamo traguardare le “emissioni-zero” entro il 2040, come previsto dal nostro piano industriale. Per questo, già dal 2020, abbiamo avviato una strategia di progressiva decarbonizzazione delle attività della filiera produttiva, di efficientamento dei consumi energetici degli asset, di ricorso crescente a fonti di energia rinnovabile, anche autoprodotte, oltre alla promozione di modelli circolari per ridurre gli sprechi e valorizzare le risorse. Tutte le attività sopra menzionate impattano fortemente sulle infrastrutture di rete, dalle centrali ai data center e ai siti radiomobili, che necessitano di grandi quantità di energia. Ricordo che Tim è la seconda azienda più energivora del comparto dei servizi in Italia con un consumo che nel 2022 è stato di oltre 2.000 GWh.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Heading1"/>
        <w:keepNext w:val="0"/>
        <w:keepLines w:val="0"/>
        <w:spacing w:after="220" w:before="0" w:line="360" w:lineRule="auto"/>
        <w:rPr>
          <w:i w:val="1"/>
          <w:iCs w:val="1"/>
          <w:color w:val="0f0f0f"/>
          <w:sz w:val="20"/>
          <w:szCs w:val="20"/>
          <w:highlight w:val="white"/>
        </w:rPr>
      </w:pPr>
      <w:bookmarkStart w:colFirst="0" w:colLast="0" w:name="_uorop4p0z623" w:id="14"/>
      <w:bookmarkEnd w:id="14"/>
      <w:r w:rsidDel="00000000" w:rsidR="00000000" w:rsidRPr="00000000">
        <w:rPr>
          <w:b w:val="1"/>
          <w:bCs w:val="1"/>
          <w:i w:val="1"/>
          <w:iCs w:val="1"/>
          <w:color w:val="0f0f0f"/>
          <w:sz w:val="20"/>
          <w:szCs w:val="20"/>
          <w:highlight w:val="white"/>
          <w:rtl w:val="0"/>
        </w:rPr>
        <w:t xml:space="preserve">Quali i focus</w:t>
      </w:r>
      <w:r w:rsidDel="00000000" w:rsidR="00000000" w:rsidRPr="00000000">
        <w:rPr>
          <w:b w:val="1"/>
          <w:bCs w:val="1"/>
          <w:i w:val="1"/>
          <w:iCs w:val="1"/>
          <w:color w:val="0f0f0f"/>
          <w:sz w:val="20"/>
          <w:szCs w:val="20"/>
          <w:highlight w:val="white"/>
          <w:rtl w:val="0"/>
        </w:rPr>
        <w:t xml:space="preserve"> dei vostri investimenti in sostenibilità</w:t>
      </w:r>
      <w:r w:rsidDel="00000000" w:rsidR="00000000" w:rsidRPr="00000000">
        <w:rPr>
          <w:i w:val="1"/>
          <w:iCs w:val="1"/>
          <w:color w:val="0f0f0f"/>
          <w:sz w:val="20"/>
          <w:szCs w:val="20"/>
          <w:highlight w:val="white"/>
          <w:rtl w:val="0"/>
        </w:rPr>
        <w:t xml:space="preserve">? Investiamo soprattutto in energia da fonti rinnovabili per alimentare le centrali, negli interventi di efficientamento delle nostre infrastrutture per ridurre il consumo energetico e nello spegnimento delle reti energivore, come ad esempio il 3G, accelerando lo switch verso reti più efficienti e caratterizzate da elevati standard di sicurezza. Un’attività rilevante è inoltre l’acquisto di prodotti a basso impatto ambientale. Come si può quantificare il risparmio a livello energetico che si ottiene con la fibra? Le reti in fibra consentono migliori performance e minori consumi. Per fare un esempio concreto, il passaggio alla fibra ottica Ftth (la fibra fino alla casa) nella rete di accesso riduce i consumi energetici nell’ordine di oltre due terzi rispetto ad una rete tradizionale, con conseguente riduzione di emissione di CO2 nell’ambiente.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1"/>
        <w:keepNext w:val="0"/>
        <w:keepLines w:val="0"/>
        <w:spacing w:after="220" w:before="0" w:line="360" w:lineRule="auto"/>
        <w:rPr>
          <w:i w:val="1"/>
          <w:iCs w:val="1"/>
          <w:color w:val="0f0f0f"/>
          <w:sz w:val="20"/>
          <w:szCs w:val="20"/>
        </w:rPr>
      </w:pPr>
      <w:bookmarkStart w:colFirst="0" w:colLast="0" w:name="_t87m9x6gjqbn" w:id="15"/>
      <w:bookmarkEnd w:id="15"/>
      <w:r w:rsidDel="00000000" w:rsidR="00000000" w:rsidRPr="00000000">
        <w:rPr>
          <w:b w:val="1"/>
          <w:bCs w:val="1"/>
          <w:i w:val="1"/>
          <w:iCs w:val="1"/>
          <w:color w:val="0f0f0f"/>
          <w:sz w:val="20"/>
          <w:szCs w:val="20"/>
          <w:rtl w:val="0"/>
        </w:rPr>
        <w:t xml:space="preserve">Quando avremo i primi effetti di questo percorso e quali saranno gli impatti sulla clientela? </w:t>
      </w:r>
      <w:r w:rsidDel="00000000" w:rsidR="00000000" w:rsidRPr="00000000">
        <w:rPr>
          <w:i w:val="1"/>
          <w:iCs w:val="1"/>
          <w:color w:val="0f0f0f"/>
          <w:sz w:val="20"/>
          <w:szCs w:val="20"/>
          <w:rtl w:val="0"/>
        </w:rPr>
        <w:t xml:space="preserve">Le attività sono in corso e già entro maggio 2024 sarà completato lo spegnimento del primo lotto di 62 centrali autorizzate da Agcom. Stiamo lavorando per accelerare il processo e dismettere un significativo numero di centrali già nei prossimi due anni. Lo spegnimento riguarderà tutti i servizi di fonia e connessione Internet che viaggiano su rete in rame, includendo quindi le linee internet in adsl. I clienti dovranno quindi chiedere la migrazione per tempo su soluzioni FTTx per continuare ad avere un collegamento attivo, passando così dai servizi tradizionali in rame a quelli ultrabroadband offerti dalla rete in fibra. E questo passaggio determina un minore impatto ambientale.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1"/>
        <w:keepNext w:val="0"/>
        <w:keepLines w:val="0"/>
        <w:spacing w:after="220" w:before="0" w:line="360" w:lineRule="auto"/>
        <w:rPr>
          <w:i w:val="1"/>
          <w:iCs w:val="1"/>
          <w:color w:val="0f0f0f"/>
          <w:sz w:val="20"/>
          <w:szCs w:val="20"/>
        </w:rPr>
      </w:pPr>
      <w:bookmarkStart w:colFirst="0" w:colLast="0" w:name="_lecq6vj4sd0m" w:id="16"/>
      <w:bookmarkEnd w:id="16"/>
      <w:r w:rsidDel="00000000" w:rsidR="00000000" w:rsidRPr="00000000">
        <w:rPr>
          <w:i w:val="1"/>
          <w:iCs w:val="1"/>
          <w:color w:val="0f0f0f"/>
          <w:sz w:val="20"/>
          <w:szCs w:val="20"/>
          <w:rtl w:val="0"/>
        </w:rPr>
        <w:t xml:space="preserve">….. </w:t>
      </w:r>
      <w:r w:rsidDel="00000000" w:rsidR="00000000" w:rsidRPr="00000000">
        <w:rPr>
          <w:b w:val="1"/>
          <w:bCs w:val="1"/>
          <w:i w:val="1"/>
          <w:iCs w:val="1"/>
          <w:color w:val="0f0f0f"/>
          <w:sz w:val="20"/>
          <w:szCs w:val="20"/>
          <w:rtl w:val="0"/>
        </w:rPr>
        <w:t xml:space="preserve">Su quali altri pilastri poggia la strategia green di Tim? </w:t>
      </w:r>
      <w:r w:rsidDel="00000000" w:rsidR="00000000" w:rsidRPr="00000000">
        <w:rPr>
          <w:i w:val="1"/>
          <w:iCs w:val="1"/>
          <w:color w:val="0f0f0f"/>
          <w:sz w:val="20"/>
          <w:szCs w:val="20"/>
          <w:rtl w:val="0"/>
        </w:rPr>
        <w:t xml:space="preserve">Come detto in precedenza, operiamo attraverso altre due principali direttrici: l’acquisto di energia elettrica da fonti rinnovabili e investimenti nell’autoproduzione. Per quanto riguarda la prima, stiamo procedendo con accordi a lungo termine, quali i power purchasing agreement e con acquisto delle Garanzie di Origine. Ad aprile 2023, Tim ha infatti siglato con Erg un’integrazione del power purchase agreement già precedentemente sottoscritto nel 2021, per la fornitura complessiva di 540 GWh/anno per 10 anni. Per quanto riguarda l’autoproduzione il nostro obiettivo è quello di installare il maggior numero di impianti fotovoltaici sulle nostre centrali e sui nostri terreni. Ai circa 100 impianti che abbiamo già attivi se ne stanno aggiungendo circa 20 in via di completamento con lo scopo di produrre energia green destinata all’autoconsumo dei siti e di conseguenza con l’obiettivo di ridurre i prelievi da rete e i costi verso gli enti erogatori. Un forte impulso a queste attività potrebbe arrivare dall’evoluzione della legislazione in materia di comunità energetiche. </w:t>
      </w:r>
    </w:p>
    <w:p w:rsidR="00000000" w:rsidDel="00000000" w:rsidP="00000000" w:rsidRDefault="00000000" w:rsidRPr="00000000" w14:paraId="0000003E">
      <w:pPr>
        <w:pStyle w:val="Heading1"/>
        <w:keepNext w:val="0"/>
        <w:keepLines w:val="0"/>
        <w:spacing w:after="220" w:before="0" w:line="360" w:lineRule="auto"/>
        <w:rPr>
          <w:i w:val="1"/>
          <w:iCs w:val="1"/>
          <w:color w:val="0f0f0f"/>
          <w:sz w:val="20"/>
          <w:szCs w:val="20"/>
        </w:rPr>
      </w:pPr>
      <w:bookmarkStart w:colFirst="0" w:colLast="0" w:name="_mpooabua8d79" w:id="17"/>
      <w:bookmarkEnd w:id="17"/>
      <w:r w:rsidDel="00000000" w:rsidR="00000000" w:rsidRPr="00000000">
        <w:rPr>
          <w:b w:val="1"/>
          <w:bCs w:val="1"/>
          <w:i w:val="1"/>
          <w:iCs w:val="1"/>
          <w:color w:val="0f0f0f"/>
          <w:sz w:val="20"/>
          <w:szCs w:val="20"/>
          <w:rtl w:val="0"/>
        </w:rPr>
        <w:t xml:space="preserve">Ci può fare un esempio? </w:t>
      </w:r>
      <w:r w:rsidDel="00000000" w:rsidR="00000000" w:rsidRPr="00000000">
        <w:rPr>
          <w:i w:val="1"/>
          <w:iCs w:val="1"/>
          <w:color w:val="0f0f0f"/>
          <w:sz w:val="20"/>
          <w:szCs w:val="20"/>
          <w:rtl w:val="0"/>
        </w:rPr>
        <w:t xml:space="preserve">La centrale ‘La Figuretta’ a Pisa, il nostro fiore all’occhiello in fatto di infrastrutture green. Con Enel X stiamo realizzando un impianto fotovoltaico che a regime sarà in grado di generare oltre 1,63 GWh annui, l’equivalente dell’energia necessaria ad alimentare un paese di circa 600 nuclei familiari. Sarà l’impianto più grande di Tim. Produrrà un risparmio pari a circa 740 mila kg di CO2 all’anno che corrispondono a circa 30.000 nuovi alberi piantati.”</w:t>
      </w:r>
    </w:p>
    <w:p w:rsidR="00000000" w:rsidDel="00000000" w:rsidP="00000000" w:rsidRDefault="00000000" w:rsidRPr="00000000" w14:paraId="0000003F">
      <w:pPr>
        <w:rPr>
          <w:rFonts w:ascii="Georgia" w:cs="Georgia" w:eastAsia="Georgia" w:hAnsi="Georgia"/>
          <w:b w:val="1"/>
          <w:bCs w:val="1"/>
          <w:color w:val="0f0f0f"/>
          <w:sz w:val="24"/>
          <w:szCs w:val="24"/>
        </w:rPr>
      </w:pPr>
      <w:r w:rsidDel="00000000" w:rsidR="00000000" w:rsidRPr="00000000">
        <w:rPr>
          <w:rtl w:val="0"/>
        </w:rPr>
      </w:r>
    </w:p>
    <w:p w:rsidR="00000000" w:rsidDel="00000000" w:rsidP="00000000" w:rsidRDefault="00000000" w:rsidRPr="00000000" w14:paraId="00000040">
      <w:pPr>
        <w:rPr>
          <w:rFonts w:ascii="Georgia" w:cs="Georgia" w:eastAsia="Georgia" w:hAnsi="Georgia"/>
          <w:b w:val="1"/>
          <w:bCs w:val="1"/>
          <w:color w:val="0f0f0f"/>
          <w:sz w:val="24"/>
          <w:szCs w:val="24"/>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1"/>
        <w:keepNext w:val="0"/>
        <w:keepLines w:val="0"/>
        <w:spacing w:after="220" w:before="0" w:line="360" w:lineRule="auto"/>
        <w:rPr>
          <w:color w:val="0f0f0f"/>
          <w:sz w:val="20"/>
          <w:szCs w:val="20"/>
          <w:highlight w:val="white"/>
        </w:rPr>
      </w:pPr>
      <w:bookmarkStart w:colFirst="0" w:colLast="0" w:name="_5d7v27r733wt" w:id="18"/>
      <w:bookmarkEnd w:id="18"/>
      <w:r w:rsidDel="00000000" w:rsidR="00000000" w:rsidRPr="00000000">
        <w:rPr>
          <w:rtl w:val="0"/>
        </w:rPr>
      </w:r>
    </w:p>
    <w:p w:rsidR="00000000" w:rsidDel="00000000" w:rsidP="00000000" w:rsidRDefault="00000000" w:rsidRPr="00000000" w14:paraId="00000044">
      <w:pPr>
        <w:pStyle w:val="Heading1"/>
        <w:keepNext w:val="0"/>
        <w:keepLines w:val="0"/>
        <w:spacing w:after="220" w:before="0" w:line="360" w:lineRule="auto"/>
        <w:rPr>
          <w:rFonts w:ascii="Georgia" w:cs="Georgia" w:eastAsia="Georgia" w:hAnsi="Georgia"/>
          <w:color w:val="0f0f0f"/>
          <w:sz w:val="20"/>
          <w:szCs w:val="20"/>
          <w:highlight w:val="white"/>
        </w:rPr>
      </w:pPr>
      <w:bookmarkStart w:colFirst="0" w:colLast="0" w:name="_x28npohuaskz" w:id="19"/>
      <w:bookmarkEnd w:id="19"/>
      <w:r w:rsidDel="00000000" w:rsidR="00000000" w:rsidRPr="00000000">
        <w:rPr>
          <w:rtl w:val="0"/>
        </w:rPr>
      </w:r>
    </w:p>
    <w:p w:rsidR="00000000" w:rsidDel="00000000" w:rsidP="00000000" w:rsidRDefault="00000000" w:rsidRPr="00000000" w14:paraId="00000045">
      <w:pPr>
        <w:pStyle w:val="Heading1"/>
        <w:keepNext w:val="0"/>
        <w:keepLines w:val="0"/>
        <w:spacing w:after="220" w:before="0" w:line="360" w:lineRule="auto"/>
        <w:rPr>
          <w:color w:val="0f0f0f"/>
          <w:sz w:val="20"/>
          <w:szCs w:val="20"/>
          <w:highlight w:val="white"/>
        </w:rPr>
      </w:pPr>
      <w:bookmarkStart w:colFirst="0" w:colLast="0" w:name="_33oka96ma4u8" w:id="20"/>
      <w:bookmarkEnd w:id="20"/>
      <w:r w:rsidDel="00000000" w:rsidR="00000000" w:rsidRPr="00000000">
        <w:rPr>
          <w:rtl w:val="0"/>
        </w:rPr>
      </w:r>
    </w:p>
    <w:p w:rsidR="00000000" w:rsidDel="00000000" w:rsidP="00000000" w:rsidRDefault="00000000" w:rsidRPr="00000000" w14:paraId="00000046">
      <w:pPr>
        <w:pStyle w:val="Heading1"/>
        <w:keepNext w:val="0"/>
        <w:keepLines w:val="0"/>
        <w:spacing w:after="220" w:before="0" w:line="360" w:lineRule="auto"/>
        <w:rPr>
          <w:color w:val="0f0f0f"/>
          <w:sz w:val="20"/>
          <w:szCs w:val="20"/>
          <w:highlight w:val="white"/>
        </w:rPr>
      </w:pPr>
      <w:bookmarkStart w:colFirst="0" w:colLast="0" w:name="_2ftktylllop" w:id="21"/>
      <w:bookmarkEnd w:id="21"/>
      <w:r w:rsidDel="00000000" w:rsidR="00000000" w:rsidRPr="00000000">
        <w:rPr>
          <w:rtl w:val="0"/>
        </w:rPr>
      </w:r>
    </w:p>
    <w:p w:rsidR="00000000" w:rsidDel="00000000" w:rsidP="00000000" w:rsidRDefault="00000000" w:rsidRPr="00000000" w14:paraId="00000047">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8">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9">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A">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B">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C">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D">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E">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4F">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0">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1">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2">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3">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4">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5">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56">
      <w:pPr>
        <w:spacing w:after="460" w:line="360" w:lineRule="auto"/>
        <w:rPr>
          <w:i w:val="1"/>
          <w:iCs w:val="1"/>
          <w:color w:val="0f0f0f"/>
          <w:sz w:val="16"/>
          <w:szCs w:val="16"/>
          <w:highlight w:val="white"/>
        </w:rPr>
      </w:pPr>
      <w:r w:rsidDel="00000000" w:rsidR="00000000" w:rsidRPr="00000000">
        <w:rPr>
          <w:rtl w:val="0"/>
        </w:rPr>
      </w:r>
    </w:p>
    <w:p w:rsidR="00000000" w:rsidDel="00000000" w:rsidP="00000000" w:rsidRDefault="00000000" w:rsidRPr="00000000" w14:paraId="00000057">
      <w:pPr>
        <w:spacing w:after="460" w:line="360" w:lineRule="auto"/>
        <w:rPr>
          <w:color w:val="0f0f0f"/>
          <w:sz w:val="20"/>
          <w:szCs w:val="20"/>
          <w:highlight w:val="white"/>
        </w:rPr>
      </w:pPr>
      <w:r w:rsidDel="00000000" w:rsidR="00000000" w:rsidRPr="00000000">
        <w:rPr>
          <w:i w:val="1"/>
          <w:iCs w:val="1"/>
          <w:color w:val="0f0f0f"/>
          <w:sz w:val="16"/>
          <w:szCs w:val="16"/>
          <w:highlight w:val="white"/>
          <w:rtl w:val="0"/>
        </w:rPr>
        <w:t xml:space="preserve">*Gli allegati sono tratti dal Bilancio di Sostenibilità dell’azienda TIM s.p.a. del 2022.</w:t>
      </w:r>
      <w:r w:rsidDel="00000000" w:rsidR="00000000" w:rsidRPr="00000000">
        <w:rPr>
          <w:rtl w:val="0"/>
        </w:rPr>
      </w:r>
    </w:p>
    <w:p w:rsidR="00000000" w:rsidDel="00000000" w:rsidP="00000000" w:rsidRDefault="00000000" w:rsidRPr="00000000" w14:paraId="00000058">
      <w:pPr>
        <w:spacing w:after="460" w:line="360" w:lineRule="auto"/>
        <w:rPr/>
      </w:pPr>
      <w:r w:rsidDel="00000000" w:rsidR="00000000" w:rsidRPr="00000000">
        <w:rPr>
          <w:i w:val="1"/>
          <w:iCs w:val="1"/>
          <w:color w:val="0f0f0f"/>
          <w:sz w:val="16"/>
          <w:szCs w:val="16"/>
          <w:highlight w:val="white"/>
          <w:rtl w:val="0"/>
        </w:rPr>
        <w:t xml:space="preserve">É consentito l'uso del dizionario di lingua italiana, del Codice Civile non commentato e l’uso di calcolatrici tascabili non programmabili.</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istitutogiulio.ed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